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4000"/>
      </w:pPr>
    </w:p>
    <w:p>
      <w:pPr>
        <w:spacing w:after="200"/>
      </w:pPr>
      <w:r>
        <w:rPr>
          <w:rFonts w:ascii="Arial" w:cs="Arial" w:eastAsia="Arial" w:hAnsi="Arial"/>
          <w:b/>
          <w:bCs/>
          <w:color w:val="2c6fbb"/>
          <w:sz w:val="20"/>
          <w:szCs w:val="20"/>
        </w:rPr>
        <w:t xml:space="preserve">REPORT TRIMESTRALE</w:t>
      </w:r>
    </w:p>
    <w:p>
      <w:pPr>
        <w:spacing w:after="400"/>
      </w:pPr>
      <w:r>
        <w:rPr>
          <w:rFonts w:ascii="Arial" w:cs="Arial" w:eastAsia="Arial" w:hAnsi="Arial"/>
          <w:b/>
          <w:bCs/>
          <w:color w:val="1a1a1a"/>
          <w:sz w:val="48"/>
          <w:szCs w:val="48"/>
        </w:rPr>
        <w:t xml:space="preserve">Analisi performance marketing Q1 2026</w:t>
      </w:r>
    </w:p>
    <w:p>
      <w:pPr>
        <w:spacing w:after="100"/>
      </w:pPr>
      <w:r>
        <w:rPr>
          <w:rFonts w:ascii="Arial" w:cs="Arial" w:eastAsia="Arial" w:hAnsi="Arial"/>
          <w:color w:val="666666"/>
          <w:sz w:val="24"/>
          <w:szCs w:val="24"/>
        </w:rPr>
        <w:t xml:space="preserve">Azienda Demo S.r.l.</w:t>
      </w:r>
    </w:p>
    <w:p>
      <w:pPr>
        <w:spacing w:after="100"/>
      </w:pPr>
      <w:r>
        <w:rPr>
          <w:rFonts w:ascii="Arial" w:cs="Arial" w:eastAsia="Arial" w:hAnsi="Arial"/>
          <w:color w:val="999999"/>
          <w:sz w:val="20"/>
          <w:szCs w:val="20"/>
        </w:rPr>
        <w:t xml:space="preserve">Preparato da: Direzione Marketing</w:t>
      </w:r>
    </w:p>
    <w:p>
      <w:r>
        <w:rPr>
          <w:rFonts w:ascii="Arial" w:cs="Arial" w:eastAsia="Arial" w:hAnsi="Arial"/>
          <w:color w:val="999999"/>
          <w:sz w:val="20"/>
          <w:szCs w:val="20"/>
        </w:rPr>
        <w:t xml:space="preserve">Data: aprile 2026</w:t>
      </w:r>
    </w:p>
    <w:p>
      <w:pPr>
        <w:pBdr>
          <w:bottom w:val="single" w:color="2c6fbb" w:sz="6" w:space="1"/>
        </w:pBdr>
        <w:spacing w:before="2000"/>
      </w:pPr>
      <w:r>
        <w:rPr>
          <w:rFonts w:ascii="Arial" w:cs="Arial" w:eastAsia="Arial" w:hAnsi="Arial"/>
          <w:i/>
          <w:iCs/>
          <w:color w:val="BBBBBB"/>
          <w:sz w:val="16"/>
          <w:szCs w:val="16"/>
        </w:rPr>
        <w:t xml:space="preserve">Documento generato con AI — Esempio dimostrativo</w:t>
      </w:r>
    </w:p>
    <w:p>
      <w:pPr>
        <w:sectPr>
          <w:pgSz w:w="11906" w:h="16838" w:orient="portrait"/>
          <w:pgMar w:top="1440" w:right="1440" w:bottom="1440" w:left="1440" w:header="708" w:footer="708" w:gutter="0"/>
          <w:pgNumType/>
          <w:docGrid w:linePitch="360"/>
        </w:sectPr>
      </w:pPr>
    </w:p>
    <w:p>
      <w:pPr>
        <w:pStyle w:val="Heading1"/>
      </w:pPr>
      <w:r>
        <w:t xml:space="preserve">Sintesi esecutiva</w:t>
      </w:r>
    </w:p>
    <w:p>
      <w:pPr>
        <w:spacing w:after="200"/>
      </w:pPr>
      <w:r>
        <w:t xml:space="preserve">Il primo trimestre 2026 ha registrato una crescita del traffico organico del 34% rispetto al Q4 2025, trainata dall’ottimizzazione per AI search e dalla pubblicazione di 12 nuovi contenuti long-form. Il costo per acquisizione è sceso a 18,40€, il valore più basso degli ultimi sei trimestri.</w:t>
      </w:r>
    </w:p>
    <w:p>
      <w:pPr>
        <w:pStyle w:val="Heading2"/>
      </w:pPr>
      <w:r>
        <w:t xml:space="preserve">KPI principali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8"/>
        <w:gridCol w:w="3009"/>
        <w:gridCol w:w="3009"/>
      </w:tblGrid>
      <w:tr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c6fb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Metrica</w:t>
            </w:r>
          </w:p>
        </w:tc>
        <w:tc>
          <w:tcPr>
            <w:tcW w:type="dxa" w:w="3009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c6fb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Q1 2026</w:t>
            </w:r>
          </w:p>
        </w:tc>
        <w:tc>
          <w:tcPr>
            <w:tcW w:type="dxa" w:w="3009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c6fb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Variazione</w:t>
            </w:r>
          </w:p>
        </w:tc>
      </w:tr>
      <w:tr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Sessioni organiche</w:t>
            </w:r>
          </w:p>
        </w:tc>
        <w:tc>
          <w:tcPr>
            <w:tcW w:type="dxa" w:w="3009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142.300</w:t>
            </w:r>
          </w:p>
        </w:tc>
        <w:tc>
          <w:tcPr>
            <w:tcW w:type="dxa" w:w="3009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+34%</w:t>
            </w:r>
          </w:p>
        </w:tc>
      </w:tr>
      <w:tr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Tasso di conversione</w:t>
            </w:r>
          </w:p>
        </w:tc>
        <w:tc>
          <w:tcPr>
            <w:tcW w:type="dxa" w:w="3009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3,8%</w:t>
            </w:r>
          </w:p>
        </w:tc>
        <w:tc>
          <w:tcPr>
            <w:tcW w:type="dxa" w:w="3009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+0,6pp</w:t>
            </w:r>
          </w:p>
        </w:tc>
      </w:tr>
      <w:tr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CPA medio</w:t>
            </w:r>
          </w:p>
        </w:tc>
        <w:tc>
          <w:tcPr>
            <w:tcW w:type="dxa" w:w="3009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€ 18,40</w:t>
            </w:r>
          </w:p>
        </w:tc>
        <w:tc>
          <w:tcPr>
            <w:tcW w:type="dxa" w:w="3009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-22%</w:t>
            </w:r>
          </w:p>
        </w:tc>
      </w:tr>
      <w:tr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Lead qualificati</w:t>
            </w:r>
          </w:p>
        </w:tc>
        <w:tc>
          <w:tcPr>
            <w:tcW w:type="dxa" w:w="3009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1.240</w:t>
            </w:r>
          </w:p>
        </w:tc>
        <w:tc>
          <w:tcPr>
            <w:tcW w:type="dxa" w:w="3009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+41%</w:t>
            </w:r>
          </w:p>
        </w:tc>
      </w:tr>
      <w:tr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Revenue attribuito</w:t>
            </w:r>
          </w:p>
        </w:tc>
        <w:tc>
          <w:tcPr>
            <w:tcW w:type="dxa" w:w="3009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€ 287.000</w:t>
            </w:r>
          </w:p>
        </w:tc>
        <w:tc>
          <w:tcPr>
            <w:tcW w:type="dxa" w:w="3009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+28%</w:t>
            </w:r>
          </w:p>
        </w:tc>
      </w:tr>
    </w:tbl>
    <w:p>
      <w:pPr>
        <w:pStyle w:val="Heading2"/>
        <w:spacing w:before="300"/>
      </w:pPr>
      <w:r>
        <w:t xml:space="preserve">Canali di acquisizione</w:t>
      </w:r>
    </w:p>
    <w:p>
      <w:pPr>
        <w:spacing w:after="200"/>
      </w:pPr>
      <w:r>
        <w:t xml:space="preserve">Il canale organico ha superato il paid per la prima volta in tre trimestri. La strategia di content marketing orientata all’AI search ha prodotto un incremento del 52% nelle impression da Google AI Overviews, con un tasso di citazione del 18% sui contenuti ottimizzati.</w:t>
      </w:r>
    </w:p>
    <w:p>
      <w:pPr>
        <w:pStyle w:val="Heading2"/>
      </w:pPr>
      <w:r>
        <w:t xml:space="preserve">Azioni raccomandate per Q2</w:t>
      </w:r>
    </w:p>
    <w:p>
      <w:pPr>
        <w:spacing w:after="100"/>
      </w:pPr>
      <w:r>
        <w:t xml:space="preserve">1. Espandere la produzione di comparison article (target: 8 nuovi pezzi)</w:t>
      </w:r>
    </w:p>
    <w:p>
      <w:pPr>
        <w:spacing w:after="100"/>
      </w:pPr>
      <w:r>
        <w:t xml:space="preserve">2. Implementare schema markup HowTo su tutte le guide operative</w:t>
      </w:r>
    </w:p>
    <w:p>
      <w:pPr>
        <w:spacing w:after="100"/>
      </w:pPr>
      <w:r>
        <w:t xml:space="preserve">3. Avviare test A/B sulle landing page con il nuovo copy AI-optimized</w:t>
      </w:r>
    </w:p>
    <w:p>
      <w:pPr>
        <w:spacing w:after="100"/>
      </w:pPr>
      <w:r>
        <w:t xml:space="preserve">4. Budget reallocation: +15% content, -10% paid search</w:t>
      </w:r>
    </w:p>
    <w:p>
      <w:pPr>
        <w:pBdr>
          <w:top w:val="single" w:color="DDDDDD" w:sz="1" w:space="8"/>
        </w:pBdr>
        <w:spacing w:before="600"/>
      </w:pPr>
      <w:r>
        <w:rPr>
          <w:i/>
          <w:iCs/>
          <w:color w:val="999999"/>
          <w:sz w:val="16"/>
          <w:szCs w:val="16"/>
        </w:rPr>
        <w:t xml:space="preserve">Questo documento è un esempio dimostrativo generato interamente con AI. Struttura, dati, formattazione e impaginazione sono stati prodotti in automatico.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200" w:before="360"/>
      <w:outlineLvl w:val="0"/>
    </w:pPr>
    <w:rPr>
      <w:rFonts w:ascii="Arial" w:cs="Arial" w:eastAsia="Arial" w:hAnsi="Arial"/>
      <w:b/>
      <w:bCs/>
      <w:color w:val="1a1a1a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60" w:before="240"/>
      <w:outlineLvl w:val="1"/>
    </w:pPr>
    <w:rPr>
      <w:rFonts w:ascii="Arial" w:cs="Arial" w:eastAsia="Arial" w:hAnsi="Arial"/>
      <w:b/>
      <w:bCs/>
      <w:color w:val="2c6fbb"/>
      <w:sz w:val="28"/>
      <w:szCs w:val="28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2026-04-17T06:54:38.640Z</dcterms:created>
  <dcterms:modified xsi:type="dcterms:W3CDTF">2026-04-17T06:54:38.641Z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